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eastAsia="宋体"/>
          <w:b/>
          <w:sz w:val="28"/>
          <w:szCs w:val="28"/>
          <w:lang w:val="en-US" w:eastAsia="zh-CN"/>
        </w:rPr>
        <w:t>9bis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R3-25</w:t>
      </w:r>
      <w:r>
        <w:rPr>
          <w:rFonts w:hint="eastAsia" w:eastAsia="宋体"/>
          <w:b/>
          <w:sz w:val="28"/>
          <w:szCs w:val="28"/>
          <w:lang w:val="en-US" w:eastAsia="zh-CN"/>
        </w:rPr>
        <w:t>6776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</w:t>
      </w:r>
    </w:p>
    <w:p>
      <w:pPr>
        <w:pStyle w:val="90"/>
        <w:jc w:val="left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Prague, Czech Republic, 13 – 17 October 2025</w:t>
      </w:r>
    </w:p>
    <w:p>
      <w:pPr>
        <w:pStyle w:val="72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.2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C-LTM</w:t>
      </w:r>
      <w:bookmarkStart w:id="4" w:name="_GoBack"/>
      <w:bookmarkEnd w:id="4"/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>
      <w:pPr>
        <w:pStyle w:val="3"/>
      </w:pPr>
      <w:r>
        <w:t>1</w:t>
      </w:r>
      <w:r>
        <w:tab/>
      </w:r>
      <w:r>
        <w:t>Introduction</w:t>
      </w:r>
    </w:p>
    <w:p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0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31"/>
            <w:bookmarkStart w:id="2" w:name="OLE_LINK17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1"/>
          <w:bookmarkEnd w:id="2"/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0"/>
          </w:p>
        </w:tc>
      </w:tr>
    </w:tbl>
    <w:p>
      <w:pPr>
        <w:spacing w:after="0"/>
      </w:pPr>
    </w:p>
    <w:p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>
      <w:pPr>
        <w:spacing w:after="0"/>
      </w:pPr>
    </w:p>
    <w:p>
      <w:pPr>
        <w:pStyle w:val="3"/>
      </w:pPr>
      <w:r>
        <w:t>2</w:t>
      </w:r>
      <w:r>
        <w:tab/>
      </w:r>
      <w:r>
        <w:t>Discussion</w:t>
      </w:r>
    </w:p>
    <w:p>
      <w:pPr>
        <w:rPr>
          <w:rFonts w:hint="eastAsia" w:eastAsia="等线"/>
          <w:b/>
          <w:bCs/>
          <w:sz w:val="24"/>
          <w:szCs w:val="24"/>
          <w:lang w:val="en-US" w:eastAsia="zh-CN"/>
        </w:rPr>
      </w:pPr>
    </w:p>
    <w:p>
      <w:pPr>
        <w:pStyle w:val="4"/>
      </w:pPr>
      <w:r>
        <w:t>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MRO for conditional </w:t>
      </w:r>
      <w:r>
        <w:t>LTM</w:t>
      </w:r>
    </w:p>
    <w:p>
      <w:pPr>
        <w:pStyle w:val="2"/>
      </w:pPr>
    </w:p>
    <w:p>
      <w:pPr>
        <w:pStyle w:val="2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Conditional LTM is supported by the UE when L1-based or L3-based LTM cell switch execution conditions are met. </w:t>
      </w:r>
      <w:r>
        <w:rPr>
          <w:rFonts w:eastAsia="Times New Roman"/>
        </w:rPr>
        <w:t>The procedure for C</w:t>
      </w:r>
      <w:r>
        <w:rPr>
          <w:rFonts w:hint="eastAsia" w:eastAsia="宋体"/>
          <w:lang w:val="en-US" w:eastAsia="zh-CN"/>
        </w:rPr>
        <w:t>-</w:t>
      </w:r>
      <w:r>
        <w:rPr>
          <w:rFonts w:eastAsia="Times New Roman"/>
        </w:rPr>
        <w:t>LTM is as follows</w:t>
      </w:r>
      <w:r>
        <w:rPr>
          <w:rFonts w:hint="eastAsia" w:eastAsia="宋体"/>
          <w:lang w:val="en-US" w:eastAsia="zh-CN"/>
        </w:rPr>
        <w:t>.</w:t>
      </w:r>
    </w:p>
    <w:p>
      <w:pPr>
        <w:pStyle w:val="2"/>
        <w:rPr>
          <w:rFonts w:hint="eastAsia" w:eastAsia="等线"/>
          <w:b w:val="0"/>
          <w:bCs w:val="0"/>
          <w:sz w:val="22"/>
          <w:szCs w:val="22"/>
          <w:lang w:val="en-US" w:eastAsia="zh-CN"/>
        </w:rPr>
      </w:pPr>
      <w:r>
        <w:drawing>
          <wp:inline distT="0" distB="0" distL="0" distR="0">
            <wp:extent cx="6122035" cy="5971540"/>
            <wp:effectExtent l="0" t="0" r="4445" b="2540"/>
            <wp:docPr id="529489472" name="Msc-generator signalling" descr="Msc-generator~|version=8.6.2~|lang=signalling~|size=651x635~|text=#This is the default signalling chart.~n#Edit and press F2 to see the result.~n#You can change the default chart~n#with the leftmost button on the Preferences pane of the ribbon.~n~nhscale=~qauto~q;~ndefstyle hgapa [text.gap.left=16, text.gap.right=16];~ndefstyle hgapb [text.gap.left=6, text.gap.right=6];~ndefstyle entity [text.font.face=~qArial~q, text.size.normal=14, text.wrap=no, text.bold=yes];~ndefstyle bs [text.font.face=~qArial~q, text.size.normal=13, vspacing=7, text.wrap=no, hgapb];~ndefstyle br [bs, line.corner=round];~ndefstyle ac [text.font.face=~qTimes~q, text.size.normal=15, text.italic=yes, vspacing=5, arrow.type=sharp, hgapa];~ndefstyle ad [vspacing=-5, arrow.type=sharp];~ndefstyle au [text.font.face=~qArial~q, text.size.normal=13, vspacing=5, hgapa];~ndefstyle n1 [text.font.face=~qArial~q, text.size.normal=13, vspacing=5, weak, text.italic=no, hgapa];~n~nm:UE;~ns:gNB;~n//t0:Target gNB-DU;~n//t:Target gNB;~n//t1:Other potential\ntarget gNB-DU(s);~n//a:AMF;~n//u:UPF(s);~n~n|||;~nmark HPstart;~nm--m:UE in RRC_CONNECTED[bs];~n//m~l=~gs: User Data [au];~n//join s~l=~gu: User Data [au];~n~n//m--u:Figure 9.2.3.2.1-2 step 1-8 [bs];~n~n//s--a:0.Mobility control information provided by AMF [br];~n//m--s:1.Measurement Control and Reports [br];~n//s--s:2. LTM Decison [bs];~n//s-~gt0:3. UE CONTEXT MODIFICATION REQUEST [ac];~n//s-~gt:3. HANDOVER REQUEST [ac];~n//s-~gt [ad];~n//s-~gt1:3. HANDOVER REQUEST [ac];~n//s-~gt1 [ad];~n//t--t:4. Admission Control [bs];~n//t1--t1:4. Admission Control [bs];~n//t0-~gs:5. UE CONTEXT MODIFICATION\nRESPONSE [ac];~n//t-~gs:5. HANDOVER REQUEST\nACKNOWLEDGE [ac];~n//t-~gs[ad];~n//t1-~gs:5. HANDOVER REQUEST ACKNOWLEDGE [ac];~n//t1-~gs[ad];~n~n//s-~gt0:6. LTM CONFIGURATION UPDATE [ac];~n//s-~gt:6. LTM CONFIGURATION UPDATE [ac];~n//s-~gt [ad];~n//s-~gt1:6. LTM CONFIGURATION UPDATE [ac];~n//s-~gt1 [ad];~n~n//t0-~gs:7. LTM CONFIGURATION UPDATE ACKNOWLEDGE [ac];~n//t-~gs:7. LTM CONFIGURATION UPDATE ACKNOWLEDGE [ac];~n//t-~gs[ad];~n//t1-~gs:7. LTM CONFIGURATION UPDATE ACKNOWLEDGE [ac];~n//t1-~gs[ad];~nm-~gs: 1. Measurement Report[ac];~n~ns--s: 2. CLTM candidate preparation[bs];~n~ns-~gm:3. RRCReconfiguration (with CLTM)[ac];~nm-~gs:4. RRCReconfigurationComplete [ac];~nmark HPend;~n~nmark LEstart;~n~nm--s:CLTM Evaluation and Early Sync[bs];~n~nm-~gs:5. L1 or L3 Measurement result[ac];~n~ns~g~gm:6a. PDCCH order for candidate cell A[ac];~nm~g~gs:6b. Early synchronization with candidate cell A[ac];~ns~g~gm:6c. PDCCH order for candidate cell B[ac];~nm~g~gs:6d. Early synchronization with candidate cell B[ac];~n//t0~g~gs:11. TA INFORMATION TRANSFER[ac];~ns-~gm:6e. TA Delivery for cell A [ac];~n//t1~g~gs:11. TA INFORMATION TRANSFER[ac];~n~n~n~ns-~gm:6f. TA Delivery for cell B [ac];~nmark LEend;~nmark LExstart;~n~nm--m:7a. CLTM execution condition satisfied[bs];~n~n//m--m:7b. Detach from source and apply target configuration[bs];~nm~l-~gs:7b. Detach from source, apply target configuraiton\n UE access to the target cell[ac];~n~nm-~gs:8. RRCReconfigurationComplete[ac];~nmark LExend;~n//t-~gs:17.HANDOVER SUCCESS[ac];~n~n~n~n//mark HEend;~n//s~g~gt:18. SN STATUS TRANSFER [ac];~n~n//u=~gs:User Data [au];~n//join s=~gt0 [au];~n~n~n~n~n//m--u:Figure 9.2.3.2.1-1 step 9-11 [bs];~n//t-~gt1:20. LTM CONFIGURATION UPDATE [ac];~n//t1-~gt:21. LTM CONFIGURATION UPDATE ACKNOWLEDGE [ac];~n//t~g~gs:22. UE CONTEXT RELEASE [ac];~n~n//;~nmark HCend;~n|||;~n~nvertical brace HPstart-~gHPend:CLTM Preparation/Configuration [n1];~nvertical brace LEstart-~gLEend:Early Synchronization [n1];~nvertical brace LExstart-~gLExend:CLTM Execution/Completion [n1];~n//vertical brace LExend-~gHCend:CLTM Completion [n1];~n~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489472" name="Msc-generator signalling" descr="Msc-generator~|version=8.6.2~|lang=signalling~|size=651x635~|text=#This is the default signalling chart.~n#Edit and press F2 to see the result.~n#You can change the default chart~n#with the leftmost button on the Preferences pane of the ribbon.~n~nhscale=~qauto~q;~ndefstyle hgapa [text.gap.left=16, text.gap.right=16];~ndefstyle hgapb [text.gap.left=6, text.gap.right=6];~ndefstyle entity [text.font.face=~qArial~q, text.size.normal=14, text.wrap=no, text.bold=yes];~ndefstyle bs [text.font.face=~qArial~q, text.size.normal=13, vspacing=7, text.wrap=no, hgapb];~ndefstyle br [bs, line.corner=round];~ndefstyle ac [text.font.face=~qTimes~q, text.size.normal=15, text.italic=yes, vspacing=5, arrow.type=sharp, hgapa];~ndefstyle ad [vspacing=-5, arrow.type=sharp];~ndefstyle au [text.font.face=~qArial~q, text.size.normal=13, vspacing=5, hgapa];~ndefstyle n1 [text.font.face=~qArial~q, text.size.normal=13, vspacing=5, weak, text.italic=no, hgapa];~n~nm:UE;~ns:gNB;~n//t0:Target gNB-DU;~n//t:Target gNB;~n//t1:Other potential\ntarget gNB-DU(s);~n//a:AMF;~n//u:UPF(s);~n~n|||;~nmark HPstart;~nm--m:UE in RRC_CONNECTED[bs];~n//m~l=~gs: User Data [au];~n//join s~l=~gu: User Data [au];~n~n//m--u:Figure 9.2.3.2.1-2 step 1-8 [bs];~n~n//s--a:0.Mobility control information provided by AMF [br];~n//m--s:1.Measurement Control and Reports [br];~n//s--s:2. LTM Decison [bs];~n//s-~gt0:3. UE CONTEXT MODIFICATION REQUEST [ac];~n//s-~gt:3. HANDOVER REQUEST [ac];~n//s-~gt [ad];~n//s-~gt1:3. HANDOVER REQUEST [ac];~n//s-~gt1 [ad];~n//t--t:4. Admission Control [bs];~n//t1--t1:4. Admission Control [bs];~n//t0-~gs:5. UE CONTEXT MODIFICATION\nRESPONSE [ac];~n//t-~gs:5. HANDOVER REQUEST\nACKNOWLEDGE [ac];~n//t-~gs[ad];~n//t1-~gs:5. HANDOVER REQUEST ACKNOWLEDGE [ac];~n//t1-~gs[ad];~n~n//s-~gt0:6. LTM CONFIGURATION UPDATE [ac];~n//s-~gt:6. LTM CONFIGURATION UPDATE [ac];~n//s-~gt [ad];~n//s-~gt1:6. LTM CONFIGURATION UPDATE [ac];~n//s-~gt1 [ad];~n~n//t0-~gs:7. LTM CONFIGURATION UPDATE ACKNOWLEDGE [ac];~n//t-~gs:7. LTM CONFIGURATION UPDATE ACKNOWLEDGE [ac];~n//t-~gs[ad];~n//t1-~gs:7. LTM CONFIGURATION UPDATE ACKNOWLEDGE [ac];~n//t1-~gs[ad];~nm-~gs: 1. Measurement Report[ac];~n~ns--s: 2. CLTM candidate preparation[bs];~n~ns-~gm:3. RRCReconfiguration (with CLTM)[ac];~nm-~gs:4. RRCReconfigurationComplete [ac];~nmark HPend;~n~nmark LEstart;~n~nm--s:CLTM Evaluation and Early Sync[bs];~n~nm-~gs:5. L1 or L3 Measurement result[ac];~n~ns~g~gm:6a. PDCCH order for candidate cell A[ac];~nm~g~gs:6b. Early synchronization with candidate cell A[ac];~ns~g~gm:6c. PDCCH order for candidate cell B[ac];~nm~g~gs:6d. Early synchronization with candidate cell B[ac];~n//t0~g~gs:11. TA INFORMATION TRANSFER[ac];~ns-~gm:6e. TA Delivery for cell A [ac];~n//t1~g~gs:11. TA INFORMATION TRANSFER[ac];~n~n~n~ns-~gm:6f. TA Delivery for cell B [ac];~nmark LEend;~nmark LExstart;~n~nm--m:7a. CLTM execution condition satisfied[bs];~n~n//m--m:7b. Detach from source and apply target configuration[bs];~nm~l-~gs:7b. Detach from source, apply target configuraiton\n UE access to the target cell[ac];~n~nm-~gs:8. RRCReconfigurationComplete[ac];~nmark LExend;~n//t-~gs:17.HANDOVER SUCCESS[ac];~n~n~n~n//mark HEend;~n//s~g~gt:18. SN STATUS TRANSFER [ac];~n~n//u=~gs:User Data [au];~n//join s=~gt0 [au];~n~n~n~n~n//m--u:Figure 9.2.3.2.1-1 step 9-11 [bs];~n//t-~gt1:20. LTM CONFIGURATION UPDATE [ac];~n//t1-~gt:21. LTM CONFIGURATION UPDATE ACKNOWLEDGE [ac];~n//t~g~gs:22. UE CONTEXT RELEASE [ac];~n~n//;~nmark HCend;~n|||;~n~nvertical brace HPstart-~gHPend:CLTM Preparation/Configuration [n1];~nvertical brace LEstart-~gLEend:Early Synchronization [n1];~nvertical brace LExstart-~gLExend:CLTM Execution/Completion [n1];~n//vertical brace LExend-~gHCend:CLTM Completion [n1];~n~|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97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cs="Arial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For C-LTM, when UE meets the configured conditions based on L1 or L3 measurements, it can perform the cell switch without the command from the gNB. </w:t>
      </w:r>
    </w:p>
    <w:p>
      <w:pPr>
        <w:pStyle w:val="36"/>
        <w:ind w:left="0" w:firstLine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Both Conditional intra-CU LTM (Intra-gNB-DU) and Conditional intra-CU LTM (Inter-gNB-DU) are supported in Rel-19, which can be considered for Rel-20 MRO enhancements.</w:t>
      </w:r>
    </w:p>
    <w:p>
      <w:pPr>
        <w:rPr>
          <w:rFonts w:hint="eastAsia" w:eastAsia="等线"/>
          <w:b/>
          <w:bCs/>
          <w:sz w:val="24"/>
          <w:szCs w:val="24"/>
          <w:lang w:val="en-US" w:eastAsia="zh-CN"/>
        </w:rPr>
      </w:pPr>
      <w:bookmarkStart w:id="3" w:name="OLE_LINK2"/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1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 xml:space="preserve"> B</w:t>
      </w:r>
      <w:r>
        <w:rPr>
          <w:rFonts w:hint="eastAsia" w:eastAsia="等线"/>
          <w:b/>
          <w:bCs/>
          <w:sz w:val="22"/>
          <w:szCs w:val="22"/>
          <w:lang w:val="en-US" w:eastAsia="zh-CN"/>
        </w:rPr>
        <w:t>oth Conditional intra-CU LTM (Intra-gNB-DU) and Conditional intra-CU LTM (Inter-gNB-DU) scenarios should be considered for MRO enhancements to conditional LTM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>.</w:t>
      </w:r>
    </w:p>
    <w:p>
      <w:pPr>
        <w:rPr>
          <w:rFonts w:hint="eastAsia" w:eastAsia="等线"/>
          <w:b/>
          <w:bCs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 xml:space="preserve"> B</w:t>
      </w:r>
      <w:r>
        <w:rPr>
          <w:rFonts w:hint="eastAsia" w:eastAsia="等线"/>
          <w:b/>
          <w:bCs/>
          <w:sz w:val="22"/>
          <w:szCs w:val="22"/>
          <w:lang w:val="en-US" w:eastAsia="zh-CN"/>
        </w:rPr>
        <w:t>oth failure case and near failure case should be considered for MRO enhancements to conditional LTM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>.</w:t>
      </w:r>
    </w:p>
    <w:p>
      <w:pPr>
        <w:pStyle w:val="2"/>
        <w:rPr>
          <w:rFonts w:hint="eastAsia" w:eastAsia="等线"/>
          <w:b/>
          <w:bCs/>
          <w:sz w:val="24"/>
          <w:szCs w:val="24"/>
          <w:lang w:val="en-US" w:eastAsia="zh-CN"/>
        </w:rPr>
      </w:pPr>
    </w:p>
    <w:p>
      <w:pPr>
        <w:pStyle w:val="2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Similar as CHO, the failure scenarios for C-LTM can use MRO for CHO as baseline.</w:t>
      </w:r>
    </w:p>
    <w:p>
      <w:pPr>
        <w:pStyle w:val="2"/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 xml:space="preserve"> </w:t>
      </w:r>
      <w:r>
        <w:rPr>
          <w:rFonts w:hint="eastAsia" w:eastAsia="等线"/>
          <w:b/>
          <w:bCs/>
          <w:sz w:val="22"/>
          <w:szCs w:val="22"/>
          <w:lang w:val="en-US" w:eastAsia="zh-CN"/>
        </w:rPr>
        <w:t>Rel-17 MRO for CHO scenarios can be considered as baseline for further study on conditional LTM failure scenarios.</w:t>
      </w:r>
    </w:p>
    <w:bookmarkEnd w:id="3"/>
    <w:p>
      <w:pP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The gNB-CU determines to initiate conditional LTM configuration with the candidate gNB-DU(s). If the candidate gNB-DU accepts the request of conditional LTM configuration, it provides a list of L1-based execution conditions generated for other candidate cells. The source gNB-DU is responsible for the L1-based execution condition.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For failures due to inappropriate L1-based execution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condition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, CU initiates analysis and may forwards the RLF report to the source gNB-DU responsible for the failure.</w:t>
      </w:r>
    </w:p>
    <w:p>
      <w:pPr>
        <w:rPr>
          <w:rFonts w:hint="default" w:eastAsia="宋体"/>
          <w:sz w:val="21"/>
          <w:szCs w:val="21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4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source gNB-DU is responsible for the failure caused by inappropriate L1-based execution condition.</w:t>
      </w:r>
    </w:p>
    <w:p>
      <w:pPr>
        <w:spacing w:after="0"/>
        <w:jc w:val="both"/>
        <w:rPr>
          <w:lang w:eastAsia="zh-CN"/>
        </w:rPr>
      </w:pPr>
    </w:p>
    <w:p>
      <w:pPr>
        <w:pStyle w:val="3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1: Both Conditional intra-CU LTM (Intra-gNB-DU) and Conditional intra-CU LTM (Inter-gNB-DU) scenarios should be considered for MRO enhancements to conditional LTM.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2: Both failure case and near failure case should be considered for MRO enhancements to conditional LTM.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3: Rel-17 MRO for CHO scenarios can be considered as baseline for further study on conditional LTM failure scenarios.</w:t>
      </w:r>
    </w:p>
    <w:p>
      <w:pPr>
        <w:rPr>
          <w:rFonts w:hint="default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4:The source gNB-DU is responsible for the failure caused by inappropriate L1-based execution condition.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</w:p>
    <w:p>
      <w:pPr>
        <w:spacing w:before="240" w:beforeLines="100" w:after="240"/>
        <w:rPr>
          <w:rFonts w:eastAsia="宋体"/>
          <w:b/>
          <w:lang w:eastAsia="zh-CN"/>
        </w:rPr>
      </w:pPr>
    </w:p>
    <w:p>
      <w:pPr>
        <w:pStyle w:val="3"/>
      </w:pPr>
      <w:r>
        <w:t>4   References</w:t>
      </w:r>
    </w:p>
    <w:p>
      <w:pPr>
        <w:pStyle w:val="7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1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DB5880"/>
    <w:rsid w:val="033961E4"/>
    <w:rsid w:val="03425F66"/>
    <w:rsid w:val="04C95396"/>
    <w:rsid w:val="059D0A04"/>
    <w:rsid w:val="06034816"/>
    <w:rsid w:val="0747198E"/>
    <w:rsid w:val="079072D0"/>
    <w:rsid w:val="083F3E39"/>
    <w:rsid w:val="08454C77"/>
    <w:rsid w:val="08B72D4B"/>
    <w:rsid w:val="0921460E"/>
    <w:rsid w:val="09A24CDB"/>
    <w:rsid w:val="09E35FBD"/>
    <w:rsid w:val="09F80663"/>
    <w:rsid w:val="0AA048AC"/>
    <w:rsid w:val="0ADD686A"/>
    <w:rsid w:val="0AF94C1A"/>
    <w:rsid w:val="0C672BD3"/>
    <w:rsid w:val="0CD26045"/>
    <w:rsid w:val="0E724F12"/>
    <w:rsid w:val="0F4A2AF6"/>
    <w:rsid w:val="0F545BF0"/>
    <w:rsid w:val="0FBB2283"/>
    <w:rsid w:val="0FD61908"/>
    <w:rsid w:val="10F65EF6"/>
    <w:rsid w:val="118229E2"/>
    <w:rsid w:val="120C6310"/>
    <w:rsid w:val="12D33B16"/>
    <w:rsid w:val="14D45BDA"/>
    <w:rsid w:val="163B5AC6"/>
    <w:rsid w:val="18680694"/>
    <w:rsid w:val="19436BAF"/>
    <w:rsid w:val="1B5F4A6D"/>
    <w:rsid w:val="1C6E3996"/>
    <w:rsid w:val="1CFF51A9"/>
    <w:rsid w:val="1D093E8E"/>
    <w:rsid w:val="1D9D1C14"/>
    <w:rsid w:val="1DEF3CAD"/>
    <w:rsid w:val="1E0E6FDF"/>
    <w:rsid w:val="1E37416A"/>
    <w:rsid w:val="1E7A730A"/>
    <w:rsid w:val="1F457054"/>
    <w:rsid w:val="1F8B2051"/>
    <w:rsid w:val="2044198C"/>
    <w:rsid w:val="206E0E34"/>
    <w:rsid w:val="20762ED5"/>
    <w:rsid w:val="207E4B10"/>
    <w:rsid w:val="20CD4DF2"/>
    <w:rsid w:val="20F90D91"/>
    <w:rsid w:val="2294325D"/>
    <w:rsid w:val="22CB4428"/>
    <w:rsid w:val="230332E7"/>
    <w:rsid w:val="241D724F"/>
    <w:rsid w:val="24BA1A4C"/>
    <w:rsid w:val="2573337B"/>
    <w:rsid w:val="258A1B50"/>
    <w:rsid w:val="26781317"/>
    <w:rsid w:val="27B91DCD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E394829"/>
    <w:rsid w:val="2FF07BC8"/>
    <w:rsid w:val="3122543A"/>
    <w:rsid w:val="32204723"/>
    <w:rsid w:val="33511F0D"/>
    <w:rsid w:val="335A38EA"/>
    <w:rsid w:val="34233C15"/>
    <w:rsid w:val="35AC3967"/>
    <w:rsid w:val="35E368FD"/>
    <w:rsid w:val="3665586F"/>
    <w:rsid w:val="382B160E"/>
    <w:rsid w:val="39FC7F63"/>
    <w:rsid w:val="3A510DE7"/>
    <w:rsid w:val="3B1C15B4"/>
    <w:rsid w:val="3B7522D1"/>
    <w:rsid w:val="3CC94D80"/>
    <w:rsid w:val="3E04574F"/>
    <w:rsid w:val="3E902592"/>
    <w:rsid w:val="3EBF38CA"/>
    <w:rsid w:val="3EFA6A59"/>
    <w:rsid w:val="3F102102"/>
    <w:rsid w:val="40ED17D5"/>
    <w:rsid w:val="41133AB4"/>
    <w:rsid w:val="41B23B2A"/>
    <w:rsid w:val="425659E6"/>
    <w:rsid w:val="42681DC2"/>
    <w:rsid w:val="429B4810"/>
    <w:rsid w:val="43211915"/>
    <w:rsid w:val="439A14F5"/>
    <w:rsid w:val="43AF1E2E"/>
    <w:rsid w:val="454B01DC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E12FB5"/>
    <w:rsid w:val="4EEB36F7"/>
    <w:rsid w:val="4FAE5593"/>
    <w:rsid w:val="506A7F16"/>
    <w:rsid w:val="50791A93"/>
    <w:rsid w:val="51C61026"/>
    <w:rsid w:val="52C32C09"/>
    <w:rsid w:val="53063320"/>
    <w:rsid w:val="55403862"/>
    <w:rsid w:val="56057C64"/>
    <w:rsid w:val="56444AC6"/>
    <w:rsid w:val="567B29ED"/>
    <w:rsid w:val="573F71C2"/>
    <w:rsid w:val="57407B4B"/>
    <w:rsid w:val="57D30DCD"/>
    <w:rsid w:val="57F24B59"/>
    <w:rsid w:val="5A713592"/>
    <w:rsid w:val="5AD325FC"/>
    <w:rsid w:val="5C9B2EC8"/>
    <w:rsid w:val="5CBF7B5D"/>
    <w:rsid w:val="5DEB4069"/>
    <w:rsid w:val="5DF47CB1"/>
    <w:rsid w:val="607F29C9"/>
    <w:rsid w:val="614A0049"/>
    <w:rsid w:val="63114608"/>
    <w:rsid w:val="633140F4"/>
    <w:rsid w:val="640D40B4"/>
    <w:rsid w:val="642B6952"/>
    <w:rsid w:val="648E266A"/>
    <w:rsid w:val="649B678A"/>
    <w:rsid w:val="64C322D9"/>
    <w:rsid w:val="6694268C"/>
    <w:rsid w:val="681B58B5"/>
    <w:rsid w:val="68E378EE"/>
    <w:rsid w:val="6A7B5019"/>
    <w:rsid w:val="6BEC00A0"/>
    <w:rsid w:val="6D1F4A0B"/>
    <w:rsid w:val="6D7D559C"/>
    <w:rsid w:val="6E4377B3"/>
    <w:rsid w:val="6E8B01B0"/>
    <w:rsid w:val="6F686D97"/>
    <w:rsid w:val="6FDC338C"/>
    <w:rsid w:val="707B5B04"/>
    <w:rsid w:val="71657AF4"/>
    <w:rsid w:val="7232223C"/>
    <w:rsid w:val="72394C9A"/>
    <w:rsid w:val="74144EAD"/>
    <w:rsid w:val="742B5F4A"/>
    <w:rsid w:val="74BE1A94"/>
    <w:rsid w:val="77097545"/>
    <w:rsid w:val="772A053C"/>
    <w:rsid w:val="77585FE5"/>
    <w:rsid w:val="77C656C3"/>
    <w:rsid w:val="77F178AE"/>
    <w:rsid w:val="7833619E"/>
    <w:rsid w:val="785C0605"/>
    <w:rsid w:val="78870EA7"/>
    <w:rsid w:val="7905736E"/>
    <w:rsid w:val="790836EE"/>
    <w:rsid w:val="791252B1"/>
    <w:rsid w:val="7A5614FA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annotation text"/>
    <w:basedOn w:val="1"/>
    <w:link w:val="88"/>
    <w:qFormat/>
    <w:uiPriority w:val="0"/>
  </w:style>
  <w:style w:type="paragraph" w:styleId="2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3"/>
    <w:next w:val="23"/>
    <w:link w:val="89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B3"/>
    <w:basedOn w:val="13"/>
    <w:qFormat/>
    <w:uiPriority w:val="0"/>
    <w:pPr>
      <w:ind w:left="1135" w:hanging="284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3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5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5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4"/>
    <w:qFormat/>
    <w:uiPriority w:val="0"/>
    <w:pPr>
      <w:ind w:left="851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9"/>
    <w:qFormat/>
    <w:uiPriority w:val="0"/>
    <w:pPr>
      <w:framePr w:y="16161"/>
    </w:pPr>
  </w:style>
  <w:style w:type="paragraph" w:customStyle="1" w:styleId="69">
    <w:name w:val="TAJ"/>
    <w:basedOn w:val="55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link w:val="7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79"/>
    <w:qFormat/>
    <w:uiPriority w:val="99"/>
    <w:pPr>
      <w:ind w:left="720"/>
      <w:contextualSpacing/>
    </w:pPr>
  </w:style>
  <w:style w:type="character" w:customStyle="1" w:styleId="74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character" w:customStyle="1" w:styleId="77">
    <w:name w:val="CR Cover Page Zchn"/>
    <w:link w:val="72"/>
    <w:qFormat/>
    <w:uiPriority w:val="0"/>
    <w:rPr>
      <w:rFonts w:ascii="Arial" w:hAnsi="Arial" w:eastAsia="MS Mincho"/>
      <w:lang w:val="en-GB"/>
    </w:rPr>
  </w:style>
  <w:style w:type="paragraph" w:customStyle="1" w:styleId="78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9">
    <w:name w:val="列出段落 字符"/>
    <w:link w:val="73"/>
    <w:qFormat/>
    <w:locked/>
    <w:uiPriority w:val="99"/>
    <w:rPr>
      <w:lang w:val="en-GB"/>
    </w:rPr>
  </w:style>
  <w:style w:type="paragraph" w:customStyle="1" w:styleId="80">
    <w:name w:val="Doc-title"/>
    <w:basedOn w:val="1"/>
    <w:next w:val="81"/>
    <w:link w:val="8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1">
    <w:name w:val="Doc-text2"/>
    <w:basedOn w:val="1"/>
    <w:link w:val="8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2">
    <w:name w:val="Doc-text2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3">
    <w:name w:val="Doc-title Char"/>
    <w:link w:val="8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Agreement"/>
    <w:basedOn w:val="1"/>
    <w:next w:val="81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5">
    <w:name w:val="EmailDiscussion"/>
    <w:basedOn w:val="1"/>
    <w:next w:val="86"/>
    <w:link w:val="87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2"/>
    <w:basedOn w:val="81"/>
    <w:qFormat/>
    <w:uiPriority w:val="0"/>
  </w:style>
  <w:style w:type="character" w:customStyle="1" w:styleId="87">
    <w:name w:val="EmailDiscussion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8">
    <w:name w:val="批注文字 字符"/>
    <w:basedOn w:val="33"/>
    <w:link w:val="23"/>
    <w:qFormat/>
    <w:uiPriority w:val="0"/>
    <w:rPr>
      <w:lang w:val="en-GB" w:eastAsia="en-US"/>
    </w:rPr>
  </w:style>
  <w:style w:type="character" w:customStyle="1" w:styleId="89">
    <w:name w:val="批注主题 字符"/>
    <w:basedOn w:val="88"/>
    <w:link w:val="30"/>
    <w:semiHidden/>
    <w:qFormat/>
    <w:uiPriority w:val="0"/>
    <w:rPr>
      <w:b/>
      <w:bCs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1">
    <w:name w:val="Proposal"/>
    <w:basedOn w:val="2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2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3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4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958C969A-B179-44C9-9E61-F8CF0A81168B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6</Pages>
  <Words>2007</Words>
  <Characters>11444</Characters>
  <Lines>95</Lines>
  <Paragraphs>26</Paragraphs>
  <TotalTime>2</TotalTime>
  <ScaleCrop>false</ScaleCrop>
  <LinksUpToDate>false</LinksUpToDate>
  <CharactersWithSpaces>13425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author</cp:lastModifiedBy>
  <dcterms:modified xsi:type="dcterms:W3CDTF">2025-10-01T12:48:31Z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